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2E0D67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-626745</wp:posOffset>
                </wp:positionV>
                <wp:extent cx="7058025" cy="1647825"/>
                <wp:effectExtent l="19050" t="20955" r="19050" b="171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</w:t>
                            </w:r>
                            <w:r w:rsidR="00287FEF">
                              <w:rPr>
                                <w:b/>
                              </w:rPr>
                              <w:t>É</w:t>
                            </w:r>
                            <w:r>
                              <w:rPr>
                                <w:b/>
                              </w:rPr>
                              <w:t>DUCATION NATIONALE ET DE LA FORMATION PROFESSIONNELLE</w:t>
                            </w:r>
                            <w:r w:rsidR="0029725F">
                              <w:rPr>
                                <w:b/>
                              </w:rPr>
                              <w:t xml:space="preserve"> (MENFP)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BACCALAURÉAT D’ENSEIGNEMENT GÉNÉRAL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SES, LET/LA/ARTS, SMP)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SESSION ORDINA</w:t>
                            </w:r>
                            <w:r w:rsidR="00226BB1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RE </w:t>
                            </w:r>
                            <w:r w:rsidR="009B32B6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</w:rPr>
                              <w:t>JUILLET 201</w:t>
                            </w:r>
                            <w:r w:rsidR="004C64E5">
                              <w:rPr>
                                <w:b/>
                              </w:rPr>
                              <w:t>5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5C7177" w:rsidRP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pt;margin-top:-49.3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iGKAIAAEkEAAAOAAAAZHJzL2Uyb0RvYy54bWysVNuO0zAQfUfiHyy/01xotyVqulp1KUJa&#10;YMXCBziOk1g4thm7TcrX79jpdrvAEyIPlsdzfDxzZibr67FX5CDASaNLms1SSoTmppa6Len3b7s3&#10;K0qcZ7pmymhR0qNw9Hrz+tV6sIXITWdULYAgiXbFYEvaeW+LJHG8Ez1zM2OFRmdjoGceTWiTGtiA&#10;7L1K8jS9SgYDtQXDhXN4ejs56SbyN43g/kvTOOGJKinG5uMKca3CmmzWrGiB2U7yUxjsH6LomdT4&#10;6JnqlnlG9iD/oOolB+NM42fc9IlpGslFzAGzydLfsnnomBUxFxTH2bNM7v/R8s+HeyCyLulbSjTr&#10;sURfUTSmWyVIHuQZrCsQ9WDvISTo7J3hPxzRZtshStwAmKETrMagsoBPXlwIhsOrpBo+mRrZ2d6b&#10;qNTYQB8IUQMyxoIczwURoyccD5fpYpXmC0o4+rKr+XKFRniDFU/XLTj/QZiehE1JAYOP9Oxw5/wE&#10;fYLE8I2S9U4qFQ1oq60CcmDYHbv4ndjdJUxpMpQ0Xy2Wi0j9wukuOdL4/Y2jlx77XMm+pKsziBVB&#10;uPe6xjhZ4ZlU0x7TU/qkZBBvKoIfqxGBQdHK1EfUFMzUzzh/uOkM/KJkwF4uqfu5ZyAoUR811uVd&#10;Np+H5o/GfLHM0YBLT3XpYZojVUk9JdN266eB2VuQbYcvZVEGbW6wlo2MKj9HdYob+zXW6TRbYSAu&#10;7Yh6/gNsHgEAAP//AwBQSwMEFAAGAAgAAAAhAKBqCl7iAAAADAEAAA8AAABkcnMvZG93bnJldi54&#10;bWxMj81OwzAQhO9IvIO1SFxQa1P1Jw1xKhTBoZxK2gu3bWySiHgdsm4b3h73BLcZ7Wj2m2wzuk6c&#10;7cCtJw2PUwXCUuVNS7WGw/51koDggGSw82Q1/FiGTX57k2Fq/IXe7bkMtYglxClqaELoUym5aqxD&#10;nvreUrx9+sFhiHaopRnwEstdJ2dKLaXDluKHBntbNLb6Kk9OA7ptPd9+r99KPvDLYv9Q7Pij0Pr+&#10;bnx+AhHsGP7CcMWP6JBHpqM/kWHRaZjM5nFLiGKdrEBcEypZLUAco1qqBGSeyf8j8l8AAAD//wMA&#10;UEsBAi0AFAAGAAgAAAAhALaDOJL+AAAA4QEAABMAAAAAAAAAAAAAAAAAAAAAAFtDb250ZW50X1R5&#10;cGVzXS54bWxQSwECLQAUAAYACAAAACEAOP0h/9YAAACUAQAACwAAAAAAAAAAAAAAAAAvAQAAX3Jl&#10;bHMvLnJlbHNQSwECLQAUAAYACAAAACEARAF4higCAABJBAAADgAAAAAAAAAAAAAAAAAuAgAAZHJz&#10;L2Uyb0RvYy54bWxQSwECLQAUAAYACAAAACEAoGoKXuIAAAAMAQAADwAAAAAAAAAAAAAAAACCBAAA&#10;ZHJzL2Rvd25yZXYueG1sUEsFBgAAAAAEAAQA8wAAAJEFAAAAAA==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</w:t>
                      </w:r>
                      <w:r w:rsidR="00287FEF">
                        <w:rPr>
                          <w:b/>
                        </w:rPr>
                        <w:t>É</w:t>
                      </w:r>
                      <w:r>
                        <w:rPr>
                          <w:b/>
                        </w:rPr>
                        <w:t>DUCATION NATIONALE ET DE LA FORMATION PROFESSIONNELLE</w:t>
                      </w:r>
                      <w:r w:rsidR="0029725F">
                        <w:rPr>
                          <w:b/>
                        </w:rPr>
                        <w:t xml:space="preserve"> (MENFP)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BACCALAURÉAT D’ENSEIGNEMENT GÉNÉRAL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SES, LET/LA/ARTS, SMP)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SESSION ORDINA</w:t>
                      </w:r>
                      <w:r w:rsidR="00226BB1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 xml:space="preserve">RE </w:t>
                      </w:r>
                      <w:r w:rsidR="009B32B6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</w:rPr>
                        <w:t>JUILLET 201</w:t>
                      </w:r>
                      <w:r w:rsidR="004C64E5">
                        <w:rPr>
                          <w:b/>
                        </w:rPr>
                        <w:t>5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 D’ÉTUDES SECONDAIRES</w:t>
                      </w:r>
                    </w:p>
                    <w:p w:rsidR="005C7177" w:rsidRP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INFORMATIQUE</w:t>
                      </w:r>
                    </w:p>
                  </w:txbxContent>
                </v:textbox>
              </v:rect>
            </w:pict>
          </mc:Fallback>
        </mc:AlternateContent>
      </w:r>
      <w:r w:rsidR="00C56DB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-293370</wp:posOffset>
            </wp:positionV>
            <wp:extent cx="1133475" cy="1123950"/>
            <wp:effectExtent l="19050" t="0" r="9525" b="0"/>
            <wp:wrapNone/>
            <wp:docPr id="2" name="Picture 1" descr="qui_h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_ht1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75.8pt;margin-top:5.4pt;width:24.75pt;height:62.2pt;z-index:251662336;mso-position-horizontal-relative:text;mso-position-vertical-relative:text" fillcolor="yellow" strokecolor="black [3213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1"/>
          </v:shape>
        </w:pict>
      </w:r>
    </w:p>
    <w:p w:rsidR="005C7177" w:rsidRDefault="005C7177"/>
    <w:p w:rsidR="005C7177" w:rsidRDefault="005C7177"/>
    <w:p w:rsidR="005C7177" w:rsidRDefault="005C7177"/>
    <w:p w:rsidR="005C7177" w:rsidRDefault="005C7177"/>
    <w:p w:rsidR="005C7177" w:rsidRDefault="005C7177"/>
    <w:p w:rsidR="005C7177" w:rsidRPr="00E65A2E" w:rsidRDefault="005C7177">
      <w:pPr>
        <w:rPr>
          <w:b/>
          <w:i/>
          <w:sz w:val="20"/>
          <w:szCs w:val="20"/>
        </w:rPr>
      </w:pPr>
      <w:r w:rsidRPr="00E65A2E">
        <w:rPr>
          <w:b/>
          <w:i/>
          <w:sz w:val="20"/>
          <w:szCs w:val="20"/>
          <w:u w:val="single"/>
        </w:rPr>
        <w:t>Consignes </w:t>
      </w:r>
      <w:r w:rsidRPr="00E65A2E">
        <w:rPr>
          <w:b/>
          <w:i/>
          <w:sz w:val="20"/>
          <w:szCs w:val="20"/>
        </w:rPr>
        <w:t>:</w:t>
      </w:r>
    </w:p>
    <w:p w:rsidR="005C7177" w:rsidRPr="00DD2B38" w:rsidRDefault="005C7177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5C7177" w:rsidRP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téléphone est interdit dans les salles</w:t>
      </w:r>
    </w:p>
    <w:p w:rsid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DD2B38" w:rsidRPr="00DD2B38" w:rsidRDefault="00DD2B38" w:rsidP="00DD2B38">
      <w:p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Durée de l’épreuve : 1h 30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</w:t>
      </w:r>
      <w:r w:rsidR="00E80248">
        <w:rPr>
          <w:b/>
          <w:i/>
          <w:sz w:val="18"/>
          <w:szCs w:val="18"/>
        </w:rPr>
        <w:t xml:space="preserve"> 1</w:t>
      </w:r>
      <w:r>
        <w:rPr>
          <w:b/>
          <w:i/>
          <w:sz w:val="18"/>
          <w:szCs w:val="18"/>
        </w:rPr>
        <w:t xml:space="preserve">   (SES) : 1    (SMP) : 1     (LET/LA/ARTS) : 1</w:t>
      </w:r>
    </w:p>
    <w:p w:rsidR="00DD2B38" w:rsidRDefault="002E0D6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B3435F" w:rsidRDefault="00B3435F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</w:p>
    <w:p w:rsidR="00D700D0" w:rsidRDefault="00D700D0" w:rsidP="00D700D0">
      <w:pPr>
        <w:pStyle w:val="ListParagraph"/>
        <w:ind w:left="360"/>
        <w:jc w:val="both"/>
        <w:rPr>
          <w:b/>
        </w:rPr>
      </w:pPr>
    </w:p>
    <w:p w:rsidR="005C7177" w:rsidRDefault="00B3435F" w:rsidP="00B3435F">
      <w:pPr>
        <w:pStyle w:val="ListParagraph"/>
        <w:numPr>
          <w:ilvl w:val="0"/>
          <w:numId w:val="2"/>
        </w:numPr>
        <w:ind w:left="360"/>
        <w:jc w:val="both"/>
        <w:rPr>
          <w:b/>
        </w:rPr>
      </w:pPr>
      <w:r w:rsidRPr="00B3435F">
        <w:rPr>
          <w:b/>
        </w:rPr>
        <w:t>Identifier des éléments suivants ceux qui ne sont pas des types d’accès à Internet</w:t>
      </w:r>
      <w:r>
        <w:rPr>
          <w:b/>
        </w:rPr>
        <w:t>.</w:t>
      </w:r>
    </w:p>
    <w:p w:rsidR="00B3435F" w:rsidRPr="00B3435F" w:rsidRDefault="00B3435F" w:rsidP="00B3435F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both"/>
        <w:rPr>
          <w:b/>
        </w:rPr>
      </w:pPr>
      <w:r>
        <w:t>Modem 56 K</w:t>
      </w:r>
    </w:p>
    <w:p w:rsidR="00B3435F" w:rsidRPr="00B3435F" w:rsidRDefault="00B3435F" w:rsidP="00B3435F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both"/>
        <w:rPr>
          <w:b/>
        </w:rPr>
      </w:pPr>
      <w:r>
        <w:t>Réseau numérique à intégration de services (RNIS)</w:t>
      </w:r>
    </w:p>
    <w:p w:rsidR="00B3435F" w:rsidRPr="00B3435F" w:rsidRDefault="00B3435F" w:rsidP="00B3435F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both"/>
        <w:rPr>
          <w:b/>
        </w:rPr>
      </w:pPr>
      <w:r>
        <w:t>Wi Max</w:t>
      </w:r>
    </w:p>
    <w:p w:rsidR="00B3435F" w:rsidRPr="00B3435F" w:rsidRDefault="00B3435F" w:rsidP="00B3435F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both"/>
        <w:rPr>
          <w:b/>
        </w:rPr>
      </w:pPr>
      <w:r>
        <w:t>DVD</w:t>
      </w:r>
    </w:p>
    <w:p w:rsidR="00B3435F" w:rsidRPr="00B3435F" w:rsidRDefault="00B3435F" w:rsidP="00B3435F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both"/>
        <w:rPr>
          <w:b/>
        </w:rPr>
      </w:pPr>
      <w:r>
        <w:t>Modem Câble</w:t>
      </w:r>
    </w:p>
    <w:p w:rsidR="00B3435F" w:rsidRPr="00095FBE" w:rsidRDefault="00B3435F" w:rsidP="00B3435F">
      <w:pPr>
        <w:pStyle w:val="ListParagraph"/>
        <w:numPr>
          <w:ilvl w:val="0"/>
          <w:numId w:val="3"/>
        </w:numPr>
        <w:tabs>
          <w:tab w:val="left" w:pos="720"/>
        </w:tabs>
        <w:ind w:left="720"/>
        <w:jc w:val="both"/>
        <w:rPr>
          <w:b/>
        </w:rPr>
      </w:pPr>
      <w:r>
        <w:t xml:space="preserve">Peta octet </w:t>
      </w:r>
    </w:p>
    <w:p w:rsidR="00095FBE" w:rsidRPr="00095FBE" w:rsidRDefault="00095FBE" w:rsidP="00095FBE">
      <w:pPr>
        <w:pStyle w:val="ListParagraph"/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(15 pts)</w:t>
      </w:r>
    </w:p>
    <w:p w:rsidR="00B3435F" w:rsidRDefault="00B3435F" w:rsidP="00B3435F">
      <w:pPr>
        <w:pStyle w:val="ListParagraph"/>
        <w:tabs>
          <w:tab w:val="left" w:pos="720"/>
        </w:tabs>
        <w:jc w:val="both"/>
        <w:rPr>
          <w:b/>
        </w:rPr>
      </w:pPr>
    </w:p>
    <w:p w:rsidR="00B3435F" w:rsidRDefault="00B3435F" w:rsidP="00B3435F">
      <w:pPr>
        <w:pStyle w:val="ListParagraph"/>
        <w:numPr>
          <w:ilvl w:val="0"/>
          <w:numId w:val="2"/>
        </w:numPr>
        <w:ind w:left="360"/>
        <w:jc w:val="both"/>
        <w:rPr>
          <w:b/>
        </w:rPr>
      </w:pPr>
      <w:r>
        <w:rPr>
          <w:b/>
        </w:rPr>
        <w:t xml:space="preserve">Un mégabit (symbole » Mb ou Mbit) est une unité de mesure en informatique qui vaut </w:t>
      </w:r>
      <w:r w:rsidR="00C11C28">
        <w:rPr>
          <w:b/>
        </w:rPr>
        <w:t xml:space="preserve"> </w:t>
      </w:r>
      <w:r>
        <w:rPr>
          <w:b/>
        </w:rPr>
        <w:t xml:space="preserve"> 2</w:t>
      </w:r>
      <w:r>
        <w:rPr>
          <w:b/>
          <w:vertAlign w:val="superscript"/>
        </w:rPr>
        <w:t>20</w:t>
      </w:r>
      <w:r>
        <w:rPr>
          <w:b/>
        </w:rPr>
        <w:t xml:space="preserve"> bits).</w:t>
      </w:r>
    </w:p>
    <w:p w:rsidR="00B3435F" w:rsidRDefault="00B3435F" w:rsidP="00B3435F">
      <w:pPr>
        <w:pStyle w:val="ListParagraph"/>
        <w:ind w:left="360"/>
        <w:jc w:val="both"/>
        <w:rPr>
          <w:b/>
        </w:rPr>
      </w:pPr>
      <w:r>
        <w:rPr>
          <w:b/>
        </w:rPr>
        <w:t>Déterminer la valeur de 1,13 ×16</w:t>
      </w:r>
      <w:r>
        <w:rPr>
          <w:b/>
          <w:vertAlign w:val="superscript"/>
        </w:rPr>
        <w:t>15</w:t>
      </w:r>
      <w:r>
        <w:rPr>
          <w:b/>
        </w:rPr>
        <w:t xml:space="preserve"> bits en mégabit.</w:t>
      </w:r>
    </w:p>
    <w:p w:rsidR="00095FBE" w:rsidRPr="00095FBE" w:rsidRDefault="00095FBE" w:rsidP="00095FBE">
      <w:pPr>
        <w:pStyle w:val="ListParagraph"/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(15 pts)</w:t>
      </w:r>
    </w:p>
    <w:p w:rsidR="00B3435F" w:rsidRPr="00B3435F" w:rsidRDefault="00B3435F" w:rsidP="00B3435F">
      <w:pPr>
        <w:pStyle w:val="ListParagraph"/>
        <w:ind w:left="360"/>
        <w:jc w:val="both"/>
        <w:rPr>
          <w:b/>
        </w:rPr>
      </w:pPr>
    </w:p>
    <w:p w:rsidR="00B3435F" w:rsidRDefault="00B3435F" w:rsidP="00B3435F">
      <w:pPr>
        <w:pStyle w:val="ListParagraph"/>
        <w:numPr>
          <w:ilvl w:val="0"/>
          <w:numId w:val="2"/>
        </w:numPr>
        <w:ind w:left="360"/>
        <w:jc w:val="both"/>
        <w:rPr>
          <w:b/>
        </w:rPr>
      </w:pPr>
      <w:r>
        <w:rPr>
          <w:b/>
        </w:rPr>
        <w:t xml:space="preserve">Un élève de secondaire IV propose les deux algorithmes suivants qui demande </w:t>
      </w:r>
      <w:r w:rsidR="00C11C28">
        <w:rPr>
          <w:b/>
        </w:rPr>
        <w:t>u</w:t>
      </w:r>
      <w:r>
        <w:rPr>
          <w:b/>
        </w:rPr>
        <w:t xml:space="preserve">n nombre de départ, et qui ensuite </w:t>
      </w:r>
      <w:r w:rsidR="00034681">
        <w:rPr>
          <w:b/>
        </w:rPr>
        <w:t>écrit la table de multiplication de ce nombre, présentée comme suit (cas où l’élève entre le nombre 7).</w:t>
      </w:r>
    </w:p>
    <w:p w:rsidR="00034681" w:rsidRDefault="00034681" w:rsidP="00034681">
      <w:pPr>
        <w:pStyle w:val="ListParagraph"/>
        <w:ind w:left="360"/>
        <w:jc w:val="both"/>
      </w:pPr>
      <w:r>
        <w:t>Table de 7 :</w:t>
      </w:r>
    </w:p>
    <w:p w:rsidR="00034681" w:rsidRDefault="00034681" w:rsidP="00034681">
      <w:pPr>
        <w:pStyle w:val="ListParagraph"/>
        <w:ind w:left="1080" w:firstLine="360"/>
        <w:jc w:val="both"/>
      </w:pPr>
      <w:r>
        <w:t>7 × 1 = 7</w:t>
      </w:r>
    </w:p>
    <w:p w:rsidR="00034681" w:rsidRDefault="00034681" w:rsidP="00034681">
      <w:pPr>
        <w:pStyle w:val="ListParagraph"/>
        <w:ind w:left="1080" w:firstLine="360"/>
        <w:jc w:val="both"/>
      </w:pPr>
      <w:r>
        <w:t>7 × 2 = 14</w:t>
      </w:r>
    </w:p>
    <w:p w:rsidR="00034681" w:rsidRDefault="00034681" w:rsidP="00034681">
      <w:pPr>
        <w:pStyle w:val="ListParagraph"/>
        <w:ind w:left="1080" w:firstLine="360"/>
        <w:jc w:val="both"/>
      </w:pPr>
      <w:r>
        <w:t>7 × 3 = 21</w:t>
      </w:r>
    </w:p>
    <w:p w:rsidR="00034681" w:rsidRDefault="00034681" w:rsidP="00034681">
      <w:pPr>
        <w:pStyle w:val="ListParagraph"/>
        <w:ind w:left="1080" w:firstLine="360"/>
        <w:jc w:val="both"/>
      </w:pPr>
      <w:r>
        <w:t>-----------</w:t>
      </w:r>
    </w:p>
    <w:p w:rsidR="00034681" w:rsidRDefault="00034681" w:rsidP="00034681">
      <w:pPr>
        <w:pStyle w:val="ListParagraph"/>
        <w:ind w:left="1080" w:firstLine="360"/>
        <w:jc w:val="both"/>
      </w:pPr>
      <w:r>
        <w:t>7 × 10 = 70</w:t>
      </w:r>
    </w:p>
    <w:p w:rsidR="00034681" w:rsidRDefault="00034681" w:rsidP="00034681">
      <w:pPr>
        <w:ind w:left="360"/>
        <w:jc w:val="both"/>
      </w:pPr>
      <w:r w:rsidRPr="00034681">
        <w:rPr>
          <w:b/>
          <w:i/>
        </w:rPr>
        <w:t>Réponse I</w:t>
      </w:r>
      <w:r>
        <w:t> : variable N, i en Entier</w:t>
      </w:r>
    </w:p>
    <w:p w:rsidR="00034681" w:rsidRDefault="00034681" w:rsidP="00034681">
      <w:pPr>
        <w:ind w:left="360"/>
        <w:jc w:val="both"/>
      </w:pPr>
      <w:r>
        <w:tab/>
      </w:r>
      <w:r>
        <w:tab/>
        <w:t>Début</w:t>
      </w:r>
    </w:p>
    <w:p w:rsidR="00034681" w:rsidRDefault="00C11C28" w:rsidP="00034681">
      <w:pPr>
        <w:ind w:left="360"/>
        <w:jc w:val="both"/>
      </w:pPr>
      <w:r>
        <w:t>Ecrire « Entr</w:t>
      </w:r>
      <w:r w:rsidR="00034681">
        <w:t>e</w:t>
      </w:r>
      <w:r>
        <w:t>z</w:t>
      </w:r>
      <w:r w:rsidR="00034681">
        <w:t xml:space="preserve"> </w:t>
      </w:r>
      <w:r>
        <w:t>u</w:t>
      </w:r>
      <w:r w:rsidR="00034681">
        <w:t>n nombre »</w:t>
      </w:r>
    </w:p>
    <w:p w:rsidR="00034681" w:rsidRDefault="00034681" w:rsidP="00034681">
      <w:pPr>
        <w:ind w:left="360"/>
        <w:jc w:val="both"/>
      </w:pPr>
      <w:r>
        <w:tab/>
      </w:r>
      <w:r>
        <w:tab/>
        <w:t>Lire N</w:t>
      </w:r>
    </w:p>
    <w:p w:rsidR="00034681" w:rsidRDefault="00034681" w:rsidP="00034681">
      <w:pPr>
        <w:ind w:left="360"/>
        <w:jc w:val="both"/>
      </w:pPr>
      <w:r>
        <w:t>Ecrire « la table de multiplication de ce nombre est : »</w:t>
      </w:r>
    </w:p>
    <w:p w:rsidR="00034681" w:rsidRDefault="00034681" w:rsidP="00034681">
      <w:pPr>
        <w:ind w:left="360"/>
        <w:jc w:val="both"/>
      </w:pPr>
      <w:r>
        <w:tab/>
      </w:r>
      <w:r>
        <w:tab/>
        <w:t>Pour i ? 1 à 10</w:t>
      </w:r>
    </w:p>
    <w:p w:rsidR="00034681" w:rsidRPr="00287FEF" w:rsidRDefault="00034681" w:rsidP="00034681">
      <w:pPr>
        <w:ind w:left="360"/>
        <w:jc w:val="both"/>
      </w:pPr>
      <w:r w:rsidRPr="00287FEF">
        <w:t xml:space="preserve">Ecrire N, </w:t>
      </w:r>
      <w:r w:rsidR="00C11C28" w:rsidRPr="00287FEF">
        <w:t>ʺ</w:t>
      </w:r>
      <w:r w:rsidRPr="00287FEF">
        <w:t> x </w:t>
      </w:r>
      <w:r w:rsidR="00C11C28" w:rsidRPr="00287FEF">
        <w:t>ʺ</w:t>
      </w:r>
      <w:r w:rsidRPr="00287FEF">
        <w:t xml:space="preserve">, i, </w:t>
      </w:r>
      <w:r w:rsidR="00C11C28" w:rsidRPr="00287FEF">
        <w:t>ʺ</w:t>
      </w:r>
      <w:r w:rsidRPr="00287FEF">
        <w:t> = </w:t>
      </w:r>
      <w:r w:rsidR="00C11C28" w:rsidRPr="00287FEF">
        <w:t>ʺ</w:t>
      </w:r>
      <w:r w:rsidRPr="00287FEF">
        <w:t>, n + i</w:t>
      </w:r>
    </w:p>
    <w:p w:rsidR="00034681" w:rsidRDefault="00034681" w:rsidP="00034681">
      <w:pPr>
        <w:ind w:left="360"/>
        <w:jc w:val="both"/>
      </w:pPr>
      <w:r w:rsidRPr="00287FEF">
        <w:tab/>
      </w:r>
      <w:r w:rsidRPr="00287FEF">
        <w:tab/>
      </w:r>
      <w:r>
        <w:t>i suivant</w:t>
      </w:r>
    </w:p>
    <w:p w:rsidR="00034681" w:rsidRDefault="00034681" w:rsidP="00034681">
      <w:pPr>
        <w:ind w:left="360"/>
        <w:jc w:val="both"/>
      </w:pPr>
      <w:r>
        <w:tab/>
      </w:r>
      <w:r>
        <w:tab/>
        <w:t xml:space="preserve">Fini </w:t>
      </w:r>
    </w:p>
    <w:p w:rsidR="00034681" w:rsidRDefault="00034681" w:rsidP="00034681">
      <w:pPr>
        <w:ind w:left="360"/>
        <w:jc w:val="both"/>
      </w:pPr>
    </w:p>
    <w:p w:rsidR="00034681" w:rsidRDefault="00034681" w:rsidP="00034681">
      <w:pPr>
        <w:ind w:left="360"/>
        <w:jc w:val="both"/>
      </w:pPr>
      <w:r w:rsidRPr="00C11C28">
        <w:rPr>
          <w:b/>
          <w:i/>
        </w:rPr>
        <w:t>Réponse II</w:t>
      </w:r>
      <w:r>
        <w:t xml:space="preserve"> : </w:t>
      </w:r>
      <w:r w:rsidR="00D700D0">
        <w:t>variables N, i, Som en entier</w:t>
      </w:r>
    </w:p>
    <w:p w:rsidR="00D700D0" w:rsidRDefault="00D700D0" w:rsidP="00034681">
      <w:pPr>
        <w:ind w:left="360"/>
        <w:jc w:val="both"/>
      </w:pPr>
      <w:r>
        <w:tab/>
      </w:r>
      <w:r>
        <w:tab/>
        <w:t>Début</w:t>
      </w:r>
    </w:p>
    <w:p w:rsidR="00D700D0" w:rsidRDefault="00D700D0" w:rsidP="00034681">
      <w:pPr>
        <w:ind w:left="360"/>
        <w:jc w:val="both"/>
      </w:pPr>
      <w:r>
        <w:t>Ecrire « entrez un nombre i »</w:t>
      </w:r>
    </w:p>
    <w:p w:rsidR="00D700D0" w:rsidRDefault="00D700D0" w:rsidP="00034681">
      <w:pPr>
        <w:ind w:left="360"/>
        <w:jc w:val="both"/>
      </w:pPr>
      <w:r>
        <w:tab/>
      </w:r>
      <w:r>
        <w:tab/>
        <w:t>Lire N</w:t>
      </w:r>
    </w:p>
    <w:p w:rsidR="00D700D0" w:rsidRDefault="00D700D0" w:rsidP="00034681">
      <w:pPr>
        <w:ind w:left="360"/>
        <w:jc w:val="both"/>
      </w:pPr>
      <w:r>
        <w:tab/>
      </w:r>
      <w:r>
        <w:tab/>
        <w:t>Pour i ? 1 à 7</w:t>
      </w:r>
    </w:p>
    <w:p w:rsidR="00D700D0" w:rsidRDefault="00D700D0" w:rsidP="00034681">
      <w:pPr>
        <w:ind w:left="360"/>
        <w:jc w:val="both"/>
      </w:pPr>
      <w:r>
        <w:t>Ecrire N, i</w:t>
      </w:r>
    </w:p>
    <w:p w:rsidR="00D700D0" w:rsidRDefault="00D700D0" w:rsidP="00034681">
      <w:pPr>
        <w:ind w:left="360"/>
        <w:jc w:val="both"/>
      </w:pPr>
      <w:r>
        <w:tab/>
      </w:r>
      <w:r>
        <w:tab/>
        <w:t xml:space="preserve">Fin </w:t>
      </w:r>
    </w:p>
    <w:p w:rsidR="00095FBE" w:rsidRPr="00095FBE" w:rsidRDefault="00095FBE" w:rsidP="00095FBE">
      <w:pPr>
        <w:pStyle w:val="ListParagraph"/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(35 pts)</w:t>
      </w:r>
    </w:p>
    <w:p w:rsidR="00C11C28" w:rsidRDefault="00C11C28" w:rsidP="00C11C28">
      <w:pPr>
        <w:ind w:left="360"/>
      </w:pPr>
    </w:p>
    <w:p w:rsidR="00095FBE" w:rsidRDefault="00095FBE" w:rsidP="00C11C28">
      <w:pPr>
        <w:ind w:left="360"/>
      </w:pPr>
    </w:p>
    <w:p w:rsidR="00D700D0" w:rsidRPr="005D616B" w:rsidRDefault="00D700D0" w:rsidP="00C11C28">
      <w:pPr>
        <w:ind w:left="360"/>
        <w:rPr>
          <w:b/>
        </w:rPr>
      </w:pPr>
      <w:r w:rsidRPr="005D616B">
        <w:rPr>
          <w:b/>
        </w:rPr>
        <w:t>Choisir des deux réponses</w:t>
      </w:r>
      <w:r w:rsidR="00C11C28" w:rsidRPr="005D616B">
        <w:rPr>
          <w:b/>
        </w:rPr>
        <w:t xml:space="preserve"> précédentes la bonne.</w:t>
      </w:r>
    </w:p>
    <w:p w:rsidR="00034681" w:rsidRPr="00034681" w:rsidRDefault="00034681" w:rsidP="00034681">
      <w:pPr>
        <w:pStyle w:val="ListParagraph"/>
        <w:ind w:left="360"/>
        <w:jc w:val="both"/>
      </w:pPr>
    </w:p>
    <w:p w:rsidR="00034681" w:rsidRDefault="00D700D0" w:rsidP="00B3435F">
      <w:pPr>
        <w:pStyle w:val="ListParagraph"/>
        <w:numPr>
          <w:ilvl w:val="0"/>
          <w:numId w:val="2"/>
        </w:numPr>
        <w:ind w:left="360"/>
        <w:jc w:val="both"/>
        <w:rPr>
          <w:b/>
        </w:rPr>
      </w:pPr>
      <w:r>
        <w:rPr>
          <w:b/>
        </w:rPr>
        <w:t xml:space="preserve">Ecrire </w:t>
      </w:r>
      <w:r w:rsidR="00C11C28">
        <w:rPr>
          <w:b/>
        </w:rPr>
        <w:t>un</w:t>
      </w:r>
      <w:r>
        <w:rPr>
          <w:b/>
        </w:rPr>
        <w:t xml:space="preserve"> algorithme qui demande un nombre à l’utilisateur, puis qui calcule et affiche le carré de ce nombre</w:t>
      </w:r>
      <w:r w:rsidR="00095FBE">
        <w:rPr>
          <w:b/>
        </w:rPr>
        <w:t>.</w:t>
      </w:r>
    </w:p>
    <w:p w:rsidR="00095FBE" w:rsidRPr="00095FBE" w:rsidRDefault="00095FBE" w:rsidP="00095FBE">
      <w:pPr>
        <w:pStyle w:val="ListParagraph"/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(35 pts)</w:t>
      </w:r>
    </w:p>
    <w:p w:rsidR="00095FBE" w:rsidRPr="00B3435F" w:rsidRDefault="00095FBE" w:rsidP="00095FBE">
      <w:pPr>
        <w:pStyle w:val="ListParagraph"/>
        <w:ind w:left="360"/>
        <w:jc w:val="both"/>
        <w:rPr>
          <w:b/>
        </w:rPr>
      </w:pPr>
    </w:p>
    <w:sectPr w:rsidR="00095FBE" w:rsidRPr="00B3435F" w:rsidSect="00D700D0">
      <w:type w:val="continuous"/>
      <w:pgSz w:w="12240" w:h="20160" w:code="5"/>
      <w:pgMar w:top="1152" w:right="864" w:bottom="1152" w:left="864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0A39CD"/>
    <w:multiLevelType w:val="hybridMultilevel"/>
    <w:tmpl w:val="6A06F294"/>
    <w:lvl w:ilvl="0" w:tplc="8A1CE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E4090D"/>
    <w:multiLevelType w:val="hybridMultilevel"/>
    <w:tmpl w:val="E8A6E2BA"/>
    <w:lvl w:ilvl="0" w:tplc="B2F29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34681"/>
    <w:rsid w:val="000354F2"/>
    <w:rsid w:val="0007444E"/>
    <w:rsid w:val="00077FE7"/>
    <w:rsid w:val="00095FBE"/>
    <w:rsid w:val="000F301D"/>
    <w:rsid w:val="001C5AAF"/>
    <w:rsid w:val="001E0769"/>
    <w:rsid w:val="00226BB1"/>
    <w:rsid w:val="00231FB8"/>
    <w:rsid w:val="00251E41"/>
    <w:rsid w:val="0027168B"/>
    <w:rsid w:val="00287FEF"/>
    <w:rsid w:val="0029725F"/>
    <w:rsid w:val="002C0A3B"/>
    <w:rsid w:val="002E0D67"/>
    <w:rsid w:val="00315F15"/>
    <w:rsid w:val="00406676"/>
    <w:rsid w:val="004C64E5"/>
    <w:rsid w:val="00511B9A"/>
    <w:rsid w:val="00557D73"/>
    <w:rsid w:val="005C7177"/>
    <w:rsid w:val="005D616B"/>
    <w:rsid w:val="005F47FF"/>
    <w:rsid w:val="006D6B4C"/>
    <w:rsid w:val="00726C43"/>
    <w:rsid w:val="007525B1"/>
    <w:rsid w:val="007B27E9"/>
    <w:rsid w:val="007C0DB7"/>
    <w:rsid w:val="008816DE"/>
    <w:rsid w:val="008A59DA"/>
    <w:rsid w:val="00965528"/>
    <w:rsid w:val="00985C6B"/>
    <w:rsid w:val="009B32B6"/>
    <w:rsid w:val="009C2F0F"/>
    <w:rsid w:val="009D0EC4"/>
    <w:rsid w:val="009F2ACF"/>
    <w:rsid w:val="00A406F1"/>
    <w:rsid w:val="00AA3BF6"/>
    <w:rsid w:val="00AE3AD9"/>
    <w:rsid w:val="00B10881"/>
    <w:rsid w:val="00B3435F"/>
    <w:rsid w:val="00B34750"/>
    <w:rsid w:val="00BB41A1"/>
    <w:rsid w:val="00C11C28"/>
    <w:rsid w:val="00C56DBB"/>
    <w:rsid w:val="00C95B28"/>
    <w:rsid w:val="00D700D0"/>
    <w:rsid w:val="00D820D0"/>
    <w:rsid w:val="00DD2B38"/>
    <w:rsid w:val="00E65A2E"/>
    <w:rsid w:val="00E712DC"/>
    <w:rsid w:val="00E80248"/>
    <w:rsid w:val="00EB42D1"/>
    <w:rsid w:val="00EB47F3"/>
    <w:rsid w:val="00F65F69"/>
    <w:rsid w:val="00F83556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B7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B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2</cp:revision>
  <cp:lastPrinted>2015-06-10T03:18:00Z</cp:lastPrinted>
  <dcterms:created xsi:type="dcterms:W3CDTF">2016-05-30T19:52:00Z</dcterms:created>
  <dcterms:modified xsi:type="dcterms:W3CDTF">2016-05-30T19:52:00Z</dcterms:modified>
</cp:coreProperties>
</file>